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98" w:firstLineChars="60"/>
        <w:jc w:val="left"/>
        <w:rPr>
          <w:rFonts w:ascii="宋体" w:hAnsi="宋体" w:eastAsia="宋体" w:cs="仿宋_GB2312"/>
          <w:b/>
          <w:bCs/>
          <w:snapToGrid w:val="0"/>
          <w:spacing w:val="4"/>
          <w:sz w:val="32"/>
          <w:szCs w:val="32"/>
        </w:rPr>
      </w:pPr>
      <w:bookmarkStart w:id="0" w:name="_GoBack"/>
      <w:bookmarkEnd w:id="0"/>
      <w:r>
        <w:rPr>
          <w:rFonts w:hint="eastAsia" w:ascii="宋体" w:hAnsi="宋体" w:eastAsia="宋体" w:cs="仿宋_GB2312"/>
          <w:b/>
          <w:bCs/>
          <w:snapToGrid w:val="0"/>
          <w:spacing w:val="4"/>
          <w:sz w:val="32"/>
          <w:szCs w:val="32"/>
        </w:rPr>
        <w:t>附件2：</w:t>
      </w:r>
    </w:p>
    <w:p>
      <w:pPr>
        <w:spacing w:line="560" w:lineRule="exact"/>
        <w:ind w:firstLine="659" w:firstLineChars="200"/>
        <w:jc w:val="center"/>
        <w:rPr>
          <w:rFonts w:ascii="宋体" w:hAnsi="宋体" w:eastAsia="宋体" w:cs="仿宋_GB2312"/>
          <w:b/>
          <w:bCs/>
          <w:snapToGrid w:val="0"/>
          <w:spacing w:val="4"/>
          <w:sz w:val="32"/>
          <w:szCs w:val="32"/>
        </w:rPr>
      </w:pPr>
      <w:r>
        <w:rPr>
          <w:rFonts w:hint="eastAsia" w:ascii="宋体" w:hAnsi="宋体" w:eastAsia="宋体" w:cs="仿宋_GB2312"/>
          <w:b/>
          <w:bCs/>
          <w:snapToGrid w:val="0"/>
          <w:spacing w:val="4"/>
          <w:sz w:val="32"/>
          <w:szCs w:val="32"/>
        </w:rPr>
        <w:t>“媒体融合与传播国家重点实验室”</w:t>
      </w:r>
    </w:p>
    <w:p>
      <w:pPr>
        <w:spacing w:line="560" w:lineRule="exact"/>
        <w:ind w:firstLine="659" w:firstLineChars="200"/>
        <w:jc w:val="center"/>
        <w:rPr>
          <w:rFonts w:ascii="宋体" w:hAnsi="宋体" w:eastAsia="宋体" w:cs="仿宋_GB2312"/>
          <w:b/>
          <w:bCs/>
          <w:snapToGrid w:val="0"/>
          <w:spacing w:val="4"/>
          <w:sz w:val="32"/>
          <w:szCs w:val="32"/>
        </w:rPr>
      </w:pPr>
      <w:r>
        <w:rPr>
          <w:rFonts w:hint="eastAsia" w:ascii="宋体" w:hAnsi="宋体" w:eastAsia="宋体" w:cs="仿宋_GB2312"/>
          <w:b/>
          <w:bCs/>
          <w:snapToGrid w:val="0"/>
          <w:spacing w:val="4"/>
          <w:sz w:val="32"/>
          <w:szCs w:val="32"/>
        </w:rPr>
        <w:t>开放课题管理办法（试行）</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为了加强“媒体融合与传播国家重点实验室”（以下简称国家重点实验室）的建设，促进与校外高水平科研机构的合作，特对校外科研人员设立国家重点实验室开放课题。</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第一条 国家重点实验室围绕主要任务和研究方向设立开放课题基金，欢迎国内外高水平科研人员来实验室开展前沿科学、基础理论或关键技术研究。</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第二条 每年学术委员会确定各研究方向重点研究内容，并发布开放课题指南。国内外同行均可根据指南提出申请。</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第三条 开放课题要求意义明确、立论根据充分、研究路线先进、预期成果显著、时间安排合理、经费预算规范。开放课题期限一般为1年，课题申请者和主要参与人员申请与参与本实验室的开放课题一般不超过2项。</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第四条 国家重点实验室对申请材料进行汇总和形式审查，并组织学术委员会成员、国内外同行专家进行评审，确定资助项目和资助金额，报国家重点实验室主任批准，并将结果通知申请人。</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第五条 开放课题获准后，课题负责人须按照申请书中确定的研究方案、工作进度完成研究课题。课题进行期间，课题负责人可利用实验室的资料、设备和条件开展研究。</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第六条 国家重点实验室为获准的开放课题提供经费。</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 xml:space="preserve">第七条 开放课题负责人在国家重点实验室工作期间所需要的相关设备、元器件材料等由国家重点实验室配置，课题结束后归还国家重点实验室。 </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w:t>
      </w:r>
      <w:r>
        <w:rPr>
          <w:rFonts w:hint="eastAsia" w:cs="仿宋_GB2312"/>
          <w:bCs/>
          <w:sz w:val="24"/>
          <w:szCs w:val="24"/>
        </w:rPr>
        <w:t>八</w:t>
      </w:r>
      <w:r>
        <w:rPr>
          <w:rFonts w:hint="eastAsia" w:ascii="宋体" w:hAnsi="宋体" w:eastAsia="宋体" w:cs="仿宋_GB2312"/>
          <w:bCs/>
          <w:sz w:val="24"/>
          <w:szCs w:val="24"/>
        </w:rPr>
        <w:t>条 开放课题成果以高水平论文为主。</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第九条 开放课题采用答辩方式结项，先提交《开放课题结题报告》，再由国家重点实验室组织专家答辩，通过者可以结项，未通过延迟结项。答辩优秀者第二年自动资助一项不少于上年经费的开放课题。</w:t>
      </w:r>
    </w:p>
    <w:p>
      <w:pPr>
        <w:widowControl/>
        <w:spacing w:line="560" w:lineRule="exact"/>
        <w:ind w:firstLine="480" w:firstLineChars="200"/>
        <w:rPr>
          <w:rFonts w:ascii="宋体" w:hAnsi="宋体" w:eastAsia="宋体" w:cs="仿宋_GB2312"/>
          <w:bCs/>
          <w:sz w:val="24"/>
          <w:szCs w:val="24"/>
        </w:rPr>
      </w:pPr>
      <w:r>
        <w:rPr>
          <w:rFonts w:hint="eastAsia" w:ascii="宋体" w:hAnsi="宋体" w:eastAsia="宋体" w:cs="仿宋_GB2312"/>
          <w:bCs/>
          <w:sz w:val="24"/>
          <w:szCs w:val="24"/>
        </w:rPr>
        <w:t>第十条 开放课题</w:t>
      </w:r>
      <w:r>
        <w:rPr>
          <w:rFonts w:ascii="宋体" w:hAnsi="宋体" w:eastAsia="宋体" w:cs="仿宋_GB2312"/>
          <w:bCs/>
          <w:sz w:val="24"/>
          <w:szCs w:val="24"/>
        </w:rPr>
        <w:t>资助所取得的论文、成果和专利等</w:t>
      </w:r>
      <w:r>
        <w:rPr>
          <w:rFonts w:hint="eastAsia" w:ascii="宋体" w:hAnsi="宋体" w:eastAsia="宋体" w:cs="仿宋_GB2312"/>
          <w:bCs/>
          <w:sz w:val="24"/>
          <w:szCs w:val="24"/>
        </w:rPr>
        <w:t>科研成果由国家重点</w:t>
      </w:r>
      <w:r>
        <w:rPr>
          <w:rFonts w:ascii="宋体" w:hAnsi="宋体" w:eastAsia="宋体" w:cs="仿宋_GB2312"/>
          <w:bCs/>
          <w:sz w:val="24"/>
          <w:szCs w:val="24"/>
        </w:rPr>
        <w:t>实验室、研究者本人和其所在单位共享，</w:t>
      </w:r>
      <w:r>
        <w:rPr>
          <w:rFonts w:hint="eastAsia" w:ascii="宋体" w:hAnsi="宋体" w:eastAsia="宋体" w:cs="仿宋_GB2312"/>
          <w:bCs/>
          <w:sz w:val="24"/>
          <w:szCs w:val="24"/>
        </w:rPr>
        <w:t>并标注或致谢受“媒体融合与传播国家重点实验室（中国传媒大学）开放课题资助”。</w:t>
      </w:r>
    </w:p>
    <w:p>
      <w:pPr>
        <w:widowControl/>
        <w:spacing w:line="560" w:lineRule="exact"/>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第十一条 本办法由媒体融合与传播国家重点实验室负责解释。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56"/>
    <w:rsid w:val="0002536F"/>
    <w:rsid w:val="0007300E"/>
    <w:rsid w:val="000D03FC"/>
    <w:rsid w:val="001179B9"/>
    <w:rsid w:val="00126A74"/>
    <w:rsid w:val="00162D9A"/>
    <w:rsid w:val="00173FCA"/>
    <w:rsid w:val="001B7C77"/>
    <w:rsid w:val="001C6A49"/>
    <w:rsid w:val="001D39A3"/>
    <w:rsid w:val="001E109B"/>
    <w:rsid w:val="002157D1"/>
    <w:rsid w:val="00233B2A"/>
    <w:rsid w:val="00283BDA"/>
    <w:rsid w:val="002970B9"/>
    <w:rsid w:val="002A5AF8"/>
    <w:rsid w:val="002E4D23"/>
    <w:rsid w:val="003154C4"/>
    <w:rsid w:val="003256AC"/>
    <w:rsid w:val="0032700A"/>
    <w:rsid w:val="00350364"/>
    <w:rsid w:val="00371A70"/>
    <w:rsid w:val="00423944"/>
    <w:rsid w:val="00431C7D"/>
    <w:rsid w:val="004656A9"/>
    <w:rsid w:val="00470D86"/>
    <w:rsid w:val="00474801"/>
    <w:rsid w:val="004758EA"/>
    <w:rsid w:val="00493677"/>
    <w:rsid w:val="004F2DB5"/>
    <w:rsid w:val="00517F8D"/>
    <w:rsid w:val="005446E6"/>
    <w:rsid w:val="00586DB5"/>
    <w:rsid w:val="005D5EDE"/>
    <w:rsid w:val="00626FE2"/>
    <w:rsid w:val="00673E6F"/>
    <w:rsid w:val="006916A0"/>
    <w:rsid w:val="00692BC0"/>
    <w:rsid w:val="006D51DD"/>
    <w:rsid w:val="006D6937"/>
    <w:rsid w:val="0074423C"/>
    <w:rsid w:val="00753109"/>
    <w:rsid w:val="00771C2A"/>
    <w:rsid w:val="007746EE"/>
    <w:rsid w:val="00783103"/>
    <w:rsid w:val="00791191"/>
    <w:rsid w:val="007B37EB"/>
    <w:rsid w:val="007E057C"/>
    <w:rsid w:val="007E2EE1"/>
    <w:rsid w:val="00863E61"/>
    <w:rsid w:val="008B7C7E"/>
    <w:rsid w:val="008C78F5"/>
    <w:rsid w:val="008F3F02"/>
    <w:rsid w:val="008F514E"/>
    <w:rsid w:val="009142FF"/>
    <w:rsid w:val="00950291"/>
    <w:rsid w:val="0098375E"/>
    <w:rsid w:val="009C3726"/>
    <w:rsid w:val="00A17CB1"/>
    <w:rsid w:val="00A546F5"/>
    <w:rsid w:val="00A86DBD"/>
    <w:rsid w:val="00A90052"/>
    <w:rsid w:val="00AC3EE8"/>
    <w:rsid w:val="00AD25EE"/>
    <w:rsid w:val="00AF41A4"/>
    <w:rsid w:val="00BD48C5"/>
    <w:rsid w:val="00BE3EAE"/>
    <w:rsid w:val="00BE6A4D"/>
    <w:rsid w:val="00C32154"/>
    <w:rsid w:val="00C55356"/>
    <w:rsid w:val="00C601FB"/>
    <w:rsid w:val="00C71FB7"/>
    <w:rsid w:val="00CB3E8C"/>
    <w:rsid w:val="00CD38D9"/>
    <w:rsid w:val="00CF23CD"/>
    <w:rsid w:val="00D51B0E"/>
    <w:rsid w:val="00D52310"/>
    <w:rsid w:val="00DC571C"/>
    <w:rsid w:val="00DF0A83"/>
    <w:rsid w:val="00E0615E"/>
    <w:rsid w:val="00E237E6"/>
    <w:rsid w:val="00E344C6"/>
    <w:rsid w:val="00E4578A"/>
    <w:rsid w:val="00E45AA0"/>
    <w:rsid w:val="00EF42E1"/>
    <w:rsid w:val="00F32689"/>
    <w:rsid w:val="00F359B6"/>
    <w:rsid w:val="057A05A0"/>
    <w:rsid w:val="71D5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spacing w:before="177"/>
      <w:ind w:left="540"/>
      <w:jc w:val="left"/>
    </w:pPr>
    <w:rPr>
      <w:rFonts w:ascii="宋体" w:hAnsi="宋体" w:eastAsia="宋体"/>
      <w:kern w:val="0"/>
      <w:szCs w:val="21"/>
      <w:lang w:eastAsia="en-US"/>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uiPriority w:val="1"/>
    <w:rPr>
      <w:rFonts w:ascii="宋体" w:hAnsi="宋体" w:eastAsia="宋体"/>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Lines>5</Lines>
  <Paragraphs>1</Paragraphs>
  <TotalTime>4</TotalTime>
  <ScaleCrop>false</ScaleCrop>
  <LinksUpToDate>false</LinksUpToDate>
  <CharactersWithSpaces>808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2020-06-01T11:00:00Z</dcterms:created>
  <dc:creator>24347</dc:creator>
  <cp:lastModifiedBy>郭妍</cp:lastModifiedBy>
  <cp:lastPrinted>2019-12-29T11:07:00Z</cp:lastPrinted>
  <dcterms:modified xsi:type="dcterms:W3CDTF">2020-06-02T08:14:09Z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